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1D76B19F" w:rsidR="00F477B1" w:rsidRPr="007001EC" w:rsidRDefault="00AF769C"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Gary Merrick</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Gary Merrick</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57C87FC5" w:rsidR="00F477B1" w:rsidRPr="007001EC" w:rsidRDefault="00AF769C"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1917 29th Pl</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25-277</w:t>
      </w:r>
      <w:r w:rsidR="00F477B1" w:rsidRPr="007001EC">
        <w:rPr>
          <w:rFonts w:asciiTheme="minorHAnsi" w:hAnsiTheme="minorHAnsi" w:cstheme="minorHAnsi"/>
          <w:sz w:val="22"/>
          <w:szCs w:val="22"/>
        </w:rPr>
        <w:tab/>
      </w:r>
    </w:p>
    <w:p w14:paraId="12631689" w14:textId="63E15D63" w:rsidR="00F477B1" w:rsidRPr="007001EC" w:rsidRDefault="00AF769C"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P122611</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3F8730E1"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AF769C">
        <w:rPr>
          <w:rFonts w:asciiTheme="minorHAnsi" w:hAnsiTheme="minorHAnsi" w:cstheme="minorHAnsi"/>
          <w:sz w:val="20"/>
          <w:szCs w:val="20"/>
        </w:rPr>
        <w:t>280,500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AF769C">
        <w:rPr>
          <w:rFonts w:asciiTheme="minorHAnsi" w:hAnsiTheme="minorHAnsi" w:cstheme="minorHAnsi"/>
          <w:sz w:val="20"/>
          <w:szCs w:val="20"/>
        </w:rPr>
        <w:t>280,500</w:t>
      </w:r>
    </w:p>
    <w:p w14:paraId="556B0C69" w14:textId="78B0014E"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AF769C">
        <w:rPr>
          <w:rFonts w:asciiTheme="minorHAnsi" w:hAnsiTheme="minorHAnsi" w:cstheme="minorHAnsi"/>
          <w:sz w:val="20"/>
          <w:szCs w:val="20"/>
        </w:rPr>
        <w:t>851,300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AF769C">
        <w:rPr>
          <w:rFonts w:asciiTheme="minorHAnsi" w:hAnsiTheme="minorHAnsi" w:cstheme="minorHAnsi"/>
          <w:sz w:val="20"/>
          <w:szCs w:val="20"/>
        </w:rPr>
        <w:t>851,300</w:t>
      </w:r>
    </w:p>
    <w:p w14:paraId="06C7F9B4" w14:textId="3B402B2A"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AF769C">
        <w:rPr>
          <w:rFonts w:asciiTheme="minorHAnsi" w:hAnsiTheme="minorHAnsi" w:cstheme="minorHAnsi"/>
          <w:sz w:val="20"/>
          <w:szCs w:val="20"/>
        </w:rPr>
        <w:t>1,131,800</w:t>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AF769C">
        <w:rPr>
          <w:rFonts w:asciiTheme="minorHAnsi" w:hAnsiTheme="minorHAnsi" w:cstheme="minorHAnsi"/>
          <w:sz w:val="20"/>
          <w:szCs w:val="20"/>
        </w:rPr>
        <w:t>1,131,800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5A551C2D"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The petitioner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0F8DE1B3"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AF769C">
        <w:rPr>
          <w:rFonts w:asciiTheme="minorHAnsi" w:hAnsiTheme="minorHAnsi" w:cstheme="minorHAnsi"/>
          <w:sz w:val="20"/>
          <w:szCs w:val="20"/>
        </w:rPr>
        <w:t xml:space="preserve">0.23 </w:t>
      </w:r>
      <w:r w:rsidRPr="007001EC">
        <w:rPr>
          <w:rFonts w:asciiTheme="minorHAnsi" w:hAnsiTheme="minorHAnsi" w:cstheme="minorHAnsi"/>
          <w:sz w:val="20"/>
          <w:szCs w:val="20"/>
        </w:rPr>
        <w:t xml:space="preserve">acres located at </w:t>
      </w:r>
      <w:r w:rsidR="00AF769C">
        <w:rPr>
          <w:rFonts w:asciiTheme="minorHAnsi" w:hAnsiTheme="minorHAnsi" w:cstheme="minorHAnsi"/>
          <w:sz w:val="20"/>
          <w:szCs w:val="20"/>
        </w:rPr>
        <w:t>1917 29th Pl</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AF769C">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38677A">
        <w:rPr>
          <w:rFonts w:asciiTheme="minorHAnsi" w:hAnsiTheme="minorHAnsi" w:cstheme="minorHAnsi"/>
          <w:sz w:val="20"/>
          <w:szCs w:val="20"/>
        </w:rPr>
        <w:t xml:space="preserve"> </w:t>
      </w:r>
      <w:r w:rsidR="0038677A" w:rsidRPr="0038677A">
        <w:rPr>
          <w:rFonts w:asciiTheme="minorHAnsi" w:hAnsiTheme="minorHAnsi" w:cstheme="minorHAnsi"/>
          <w:sz w:val="20"/>
          <w:szCs w:val="20"/>
        </w:rPr>
        <w:t xml:space="preserve">that nearby comparable sales were lower in value, some featuring larger homes, better views, or more desirable surroundings. </w:t>
      </w:r>
      <w:r w:rsidR="0038677A">
        <w:rPr>
          <w:rFonts w:asciiTheme="minorHAnsi" w:hAnsiTheme="minorHAnsi" w:cstheme="minorHAnsi"/>
          <w:sz w:val="20"/>
          <w:szCs w:val="20"/>
        </w:rPr>
        <w:t>The petitioner</w:t>
      </w:r>
      <w:r w:rsidR="0038677A" w:rsidRPr="0038677A">
        <w:rPr>
          <w:rFonts w:asciiTheme="minorHAnsi" w:hAnsiTheme="minorHAnsi" w:cstheme="minorHAnsi"/>
          <w:sz w:val="20"/>
          <w:szCs w:val="20"/>
        </w:rPr>
        <w:t xml:space="preserve"> also noted that the home has only a limited view and was purchased at the peak of the housing market in April 2022 for approximately $1.1 million.</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2648EB75"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w:t>
      </w:r>
      <w:r w:rsidR="008B4973" w:rsidRPr="007001EC">
        <w:rPr>
          <w:rFonts w:asciiTheme="minorHAnsi" w:hAnsiTheme="minorHAnsi" w:cstheme="minorHAnsi"/>
          <w:sz w:val="20"/>
          <w:szCs w:val="20"/>
        </w:rPr>
        <w:t>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a response to the appeal, noting that the</w:t>
      </w:r>
      <w:r w:rsidR="0038677A" w:rsidRPr="0038677A">
        <w:t xml:space="preserve"> </w:t>
      </w:r>
      <w:r w:rsidR="0038677A" w:rsidRPr="0038677A">
        <w:rPr>
          <w:rFonts w:asciiTheme="minorHAnsi" w:hAnsiTheme="minorHAnsi" w:cstheme="minorHAnsi"/>
          <w:sz w:val="20"/>
          <w:szCs w:val="20"/>
        </w:rPr>
        <w:t xml:space="preserve">2022 purchase price supports the current assessment, which is only modestly higher despite market appreciation through January 1, 2025. </w:t>
      </w:r>
      <w:r w:rsidR="0038677A">
        <w:rPr>
          <w:rFonts w:asciiTheme="minorHAnsi" w:hAnsiTheme="minorHAnsi" w:cstheme="minorHAnsi"/>
          <w:sz w:val="20"/>
          <w:szCs w:val="20"/>
        </w:rPr>
        <w:t>The Assessor reviewed the</w:t>
      </w:r>
      <w:r w:rsidR="0038677A" w:rsidRPr="0038677A">
        <w:rPr>
          <w:rFonts w:asciiTheme="minorHAnsi" w:hAnsiTheme="minorHAnsi" w:cstheme="minorHAnsi"/>
          <w:sz w:val="20"/>
          <w:szCs w:val="20"/>
        </w:rPr>
        <w:t xml:space="preserve"> </w:t>
      </w:r>
      <w:r w:rsidR="0038677A">
        <w:rPr>
          <w:rFonts w:asciiTheme="minorHAnsi" w:hAnsiTheme="minorHAnsi" w:cstheme="minorHAnsi"/>
          <w:sz w:val="20"/>
          <w:szCs w:val="20"/>
        </w:rPr>
        <w:t>P</w:t>
      </w:r>
      <w:r w:rsidR="0038677A" w:rsidRPr="0038677A">
        <w:rPr>
          <w:rFonts w:asciiTheme="minorHAnsi" w:hAnsiTheme="minorHAnsi" w:cstheme="minorHAnsi"/>
          <w:sz w:val="20"/>
          <w:szCs w:val="20"/>
        </w:rPr>
        <w:t xml:space="preserve">etitioner’s comparable sales along with other nearby sales, the </w:t>
      </w:r>
      <w:r w:rsidR="0038677A">
        <w:rPr>
          <w:rFonts w:asciiTheme="minorHAnsi" w:hAnsiTheme="minorHAnsi" w:cstheme="minorHAnsi"/>
          <w:sz w:val="20"/>
          <w:szCs w:val="20"/>
        </w:rPr>
        <w:t>A</w:t>
      </w:r>
      <w:r w:rsidR="0038677A" w:rsidRPr="0038677A">
        <w:rPr>
          <w:rFonts w:asciiTheme="minorHAnsi" w:hAnsiTheme="minorHAnsi" w:cstheme="minorHAnsi"/>
          <w:sz w:val="20"/>
          <w:szCs w:val="20"/>
        </w:rPr>
        <w:t>ssessor concluded that the subject property falls within the range of comparable values and that the assessed value is supportable</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0E2DEB"/>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8677A"/>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AF769C"/>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370</Words>
  <Characters>2130</Characters>
  <Application>Microsoft Office Word</Application>
  <DocSecurity>0</DocSecurity>
  <Lines>68</Lines>
  <Paragraphs>32</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2026-02-12T18:27:00Z</dcterms:created>
  <dcterms:modified xsi:type="dcterms:W3CDTF">2026-02-12T18:41:00Z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